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  <w:lang w:val="en-US"/>
        </w:rPr>
      </w:pPr>
      <w:bookmarkStart w:id="0" w:name="_GoBack"/>
      <w:r>
        <w:rPr>
          <w:rFonts w:hint="eastAsia" w:ascii="Calibri" w:hAnsi="Calibri" w:eastAsia="宋体" w:cs="宋体"/>
          <w:b/>
          <w:bCs w:val="0"/>
          <w:kern w:val="2"/>
          <w:sz w:val="32"/>
          <w:szCs w:val="32"/>
          <w:lang w:val="en-US" w:eastAsia="zh-CN" w:bidi="ar"/>
        </w:rPr>
        <w:t>黑龙江自考免考课程申请办理流程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1.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姓名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+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准考证号登陆考生自助服务系统：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instrText xml:space="preserve"> HYPERLINK "https://zxks.hljea.org.cn/kszzfw/home/login" </w:instrTex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separate"/>
      </w:r>
      <w:r>
        <w:rPr>
          <w:rStyle w:val="6"/>
          <w:b/>
          <w:bCs w:val="0"/>
          <w:u w:val="single"/>
          <w:lang w:val="en-US"/>
        </w:rPr>
        <w:t>https://zxks.hljea.org.cn/kszzfw/home/login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4057650" cy="23241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2.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进入“免考课程申请”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4914900" cy="2524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3.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点击“增加免考课程”，输入课程代码，系统自动显示课程名称，录入证书名称及证书编号后上传证书图片（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1M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以内，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jpg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格式）后点击“保存”按钮。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800725" cy="2743200"/>
            <wp:effectExtent l="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4.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已登记的免考课程可在“免考课程申请列表”中查看，重复步骤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3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操作可办理多科课程免考。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276850" cy="1685925"/>
            <wp:effectExtent l="0" t="0" r="0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5.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登记完全部免考课程后，点击“提交审核”，待招生考试机构审核通过后可点击“提交订单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-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支付”，在线支付免考费。如审核不通过，可在“免考课程申请列表”中查看审核意见。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MzYxYjBmNTZjZTNkY2FlNGU4YzczMjA1Y2UzNTMifQ=="/>
  </w:docVars>
  <w:rsids>
    <w:rsidRoot w:val="03EC11CB"/>
    <w:rsid w:val="03E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hljzk</Company>
  <Pages>2</Pages>
  <Words>53</Words>
  <Characters>305</Characters>
  <Lines>2</Lines>
  <Paragraphs>1</Paragraphs>
  <TotalTime>45257.7187500001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孔　宁</dc:creator>
  <cp:lastModifiedBy>成钰莹</cp:lastModifiedBy>
  <dcterms:modified xsi:type="dcterms:W3CDTF">2023-11-27T09:36:00Z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611CC3ABEC1C462FBAFEBE8DE2CD46DD_11</vt:lpwstr>
  </property>
</Properties>
</file>